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E0" w:rsidRDefault="0075361B">
      <w:r>
        <w:rPr>
          <w:noProof/>
        </w:rPr>
        <w:drawing>
          <wp:inline distT="0" distB="0" distL="0" distR="0" wp14:anchorId="401ED07F" wp14:editId="7931610A">
            <wp:extent cx="3257550" cy="1143000"/>
            <wp:effectExtent l="0" t="0" r="0" b="0"/>
            <wp:docPr id="2" name="Picture 2" descr="Logo with new straplin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Logo with new strapline (00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1B" w:rsidRDefault="00B62D74" w:rsidP="0075361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November 2020</w:t>
      </w:r>
    </w:p>
    <w:p w:rsidR="0075361B" w:rsidRPr="0075361B" w:rsidRDefault="0075361B" w:rsidP="0075361B">
      <w:pPr>
        <w:rPr>
          <w:rFonts w:ascii="Century Gothic" w:hAnsi="Century Gothic"/>
          <w:b/>
          <w:sz w:val="36"/>
          <w:szCs w:val="36"/>
        </w:rPr>
      </w:pPr>
      <w:r w:rsidRPr="0075361B">
        <w:rPr>
          <w:rFonts w:ascii="Century Gothic" w:hAnsi="Century Gothic"/>
          <w:b/>
          <w:sz w:val="36"/>
          <w:szCs w:val="36"/>
        </w:rPr>
        <w:t>Fundraising Policy</w:t>
      </w:r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</w:pPr>
    </w:p>
    <w:p w:rsidR="00034842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Purpose</w:t>
      </w:r>
      <w:bookmarkStart w:id="0" w:name="_GoBack"/>
      <w:bookmarkEnd w:id="0"/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This policy is intended to provide information on the principles and guidelines for fundraising from all sources.</w:t>
      </w:r>
    </w:p>
    <w:p w:rsidR="0075361B" w:rsidRP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Horsham Matters is committed to the 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Code of Fundraising Practice, as well as outlining the responsibilities of staff, Board members and volunteers involved with fundraising.</w:t>
      </w: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The policy covers all staff, trustees, volunteers, casual workers, contracted employees and supporters of </w:t>
      </w:r>
      <w:r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Horsham Matters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</w:t>
      </w:r>
    </w:p>
    <w:p w:rsidR="00034842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Policy and procedure</w:t>
      </w:r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All fundraising activities must be approved by either the </w:t>
      </w:r>
      <w:r w:rsidR="008E4DC8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Managing Director</w:t>
      </w:r>
      <w:r w:rsidR="00D80CB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or the Community Fundraiser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</w:t>
      </w:r>
    </w:p>
    <w:p w:rsidR="0075361B" w:rsidRP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034842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Code of Fundraising Practice</w:t>
      </w:r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  <w:r w:rsidR="00D80CB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Horsham Matters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will ensure that all </w:t>
      </w:r>
      <w:r w:rsidR="00D80CB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Trustees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, </w:t>
      </w:r>
      <w:r w:rsidR="00D80CB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staff 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and volunteers c</w:t>
      </w:r>
      <w:r w:rsidR="00D80CB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arrying out fundraising activities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are expected to act in accordance with the Code of Fundraising Practice, see </w:t>
      </w:r>
      <w:hyperlink r:id="rId6" w:history="1">
        <w:r w:rsidRPr="00D80CB1">
          <w:rPr>
            <w:rFonts w:ascii="Century Gothic" w:eastAsia="Times New Roman" w:hAnsi="Century Gothic" w:cs="Times New Roman"/>
            <w:spacing w:val="-3"/>
            <w:sz w:val="24"/>
            <w:szCs w:val="24"/>
          </w:rPr>
          <w:t>https://www.fundraisingregulator.org.uk</w:t>
        </w:r>
      </w:hyperlink>
    </w:p>
    <w:p w:rsidR="00D80CB1" w:rsidRPr="0075361B" w:rsidRDefault="00D80CB1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In particular, we will adhere to the principles of the Code, namely that our fundraising will always be legal, honest, open and respectful.</w:t>
      </w:r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Legal requirements and data protection</w:t>
      </w: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Staff will ensure they comply, in all of their fundraising activities, with the law as it applied to charities and fundraising. This includes the General Data Protection Regulation, see 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our Privacy Policy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</w:t>
      </w:r>
    </w:p>
    <w:p w:rsidR="001505A1" w:rsidRPr="0075361B" w:rsidRDefault="001505A1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lastRenderedPageBreak/>
        <w:t xml:space="preserve">All funds raised will be used for the purpose for which they were raised, and within a reasonable timeframe. We </w:t>
      </w:r>
      <w:proofErr w:type="spellStart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recognise</w:t>
      </w:r>
      <w:proofErr w:type="spellEnd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that donors have the right to 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request information on how the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ir funds are used and will provide this if requested.</w:t>
      </w: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Accurate records of all donations, grant applications and funding bids 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will be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collected and stored by the </w:t>
      </w:r>
      <w:r w:rsidR="008E4DC8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Managing Director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and the 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Community Fundraiser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</w:t>
      </w:r>
    </w:p>
    <w:p w:rsidR="0075361B" w:rsidRPr="0075361B" w:rsidRDefault="0075361B" w:rsidP="0075361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Funds will not be accepted from </w:t>
      </w:r>
      <w:proofErr w:type="spellStart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organisations</w:t>
      </w:r>
      <w:proofErr w:type="spellEnd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or individuals where the </w:t>
      </w:r>
      <w:r w:rsidR="000707D3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Managing Director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and/or the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Board of Trustees considers there is reasonable evidence to suggest that association with the individual or </w:t>
      </w:r>
      <w:proofErr w:type="spellStart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organisation</w:t>
      </w:r>
      <w:proofErr w:type="spellEnd"/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may lead to disrepute.</w:t>
      </w:r>
      <w:r w:rsidR="000707D3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The Accepting and Declining Donations policy should be read in conjunction with this policy.</w:t>
      </w:r>
    </w:p>
    <w:p w:rsidR="00034842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Marketing</w:t>
      </w:r>
    </w:p>
    <w:p w:rsidR="0075361B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All printed mat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erials used for fundraising will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be 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reviewed and approved b</w:t>
      </w:r>
      <w:r w:rsidR="008E4DC8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y the Managing Director</w:t>
      </w:r>
      <w:r w:rsidR="001505A1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 All publicity and promotional activities will be truthful and will not exaggerate.</w:t>
      </w:r>
    </w:p>
    <w:p w:rsidR="001505A1" w:rsidRPr="0075361B" w:rsidRDefault="001505A1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034842" w:rsidRDefault="0075361B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t>Fundraising events</w:t>
      </w:r>
      <w:r w:rsidRPr="0075361B">
        <w:rPr>
          <w:rFonts w:ascii="Century Gothic" w:eastAsia="Times New Roman" w:hAnsi="Century Gothic" w:cs="Times New Roman"/>
          <w:b/>
          <w:bCs/>
          <w:color w:val="4D4F53"/>
          <w:spacing w:val="-3"/>
          <w:sz w:val="24"/>
          <w:szCs w:val="24"/>
        </w:rPr>
        <w:br/>
      </w:r>
    </w:p>
    <w:p w:rsidR="00034842" w:rsidRDefault="008E4DC8" w:rsidP="0075361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The Managing Director</w:t>
      </w:r>
      <w:r w:rsidR="00034842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 will share with the Board revenue and expenses relating to an event.</w:t>
      </w:r>
    </w:p>
    <w:p w:rsidR="00034842" w:rsidRDefault="00034842" w:rsidP="0075361B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</w:p>
    <w:p w:rsidR="0075361B" w:rsidRPr="0075361B" w:rsidRDefault="0075361B" w:rsidP="0075361B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</w:pP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 xml:space="preserve">Where possible all costs of fundraising events will be covered by participants to ensure that all sponsorship received will go directly to cover the charitable work of </w:t>
      </w:r>
      <w:r w:rsidR="00034842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Horsham Matters</w:t>
      </w:r>
      <w:r w:rsidRPr="0075361B">
        <w:rPr>
          <w:rFonts w:ascii="Century Gothic" w:eastAsia="Times New Roman" w:hAnsi="Century Gothic" w:cs="Times New Roman"/>
          <w:color w:val="4D4F53"/>
          <w:spacing w:val="-3"/>
          <w:sz w:val="24"/>
          <w:szCs w:val="24"/>
        </w:rPr>
        <w:t>.</w:t>
      </w:r>
    </w:p>
    <w:p w:rsidR="0075361B" w:rsidRPr="0075361B" w:rsidRDefault="0075361B">
      <w:pPr>
        <w:rPr>
          <w:sz w:val="24"/>
          <w:szCs w:val="24"/>
        </w:rPr>
      </w:pPr>
    </w:p>
    <w:sectPr w:rsidR="0075361B" w:rsidRPr="0075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1B"/>
    <w:rsid w:val="00034842"/>
    <w:rsid w:val="000707D3"/>
    <w:rsid w:val="001505A1"/>
    <w:rsid w:val="005103E0"/>
    <w:rsid w:val="0075361B"/>
    <w:rsid w:val="008E4DC8"/>
    <w:rsid w:val="00B62D74"/>
    <w:rsid w:val="00D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6838-1910-4803-A05D-B6814A76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3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6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6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3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2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1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raisingregulator.org.uk/" TargetMode="External"/><Relationship Id="rId5" Type="http://schemas.openxmlformats.org/officeDocument/2006/relationships/image" Target="cid:image001.jpg@01D5DFF9.B5996F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Emma Elnaugh</cp:lastModifiedBy>
  <cp:revision>2</cp:revision>
  <dcterms:created xsi:type="dcterms:W3CDTF">2020-11-19T10:23:00Z</dcterms:created>
  <dcterms:modified xsi:type="dcterms:W3CDTF">2020-11-19T10:23:00Z</dcterms:modified>
</cp:coreProperties>
</file>